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4970"/>
        <w:gridCol w:w="5236"/>
      </w:tblGrid>
      <w:tr>
        <w:trPr>
          <w:trHeight w:val="810" w:hRule="atLeast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>
        <w:trPr>
          <w:trHeight w:val="4056" w:hRule="atLeast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субъект Российской Федерации: </w:t>
            </w:r>
            <w:r>
              <w:rPr>
                <w:sz w:val="20"/>
                <w:szCs w:val="20"/>
                <w:u w:val="single"/>
              </w:rPr>
              <w:t>Республика Северная Осетия - Алания</w:t>
            </w:r>
            <w:r>
              <w:rPr>
                <w:sz w:val="20"/>
                <w:szCs w:val="20"/>
              </w:rPr>
              <w:t>,</w:t>
            </w:r>
          </w:p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образование: </w:t>
            </w:r>
            <w:r>
              <w:rPr>
                <w:b w:val="false"/>
                <w:bCs w:val="false"/>
                <w:sz w:val="20"/>
                <w:szCs w:val="20"/>
                <w:u w:val="single"/>
              </w:rPr>
              <w:t>Ирское</w:t>
            </w:r>
            <w:r>
              <w:rPr>
                <w:sz w:val="20"/>
                <w:szCs w:val="20"/>
                <w:u w:val="single"/>
              </w:rPr>
              <w:t xml:space="preserve"> сельское поселение Пригородного района Республики Северная Осетия-Алания</w:t>
            </w:r>
          </w:p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населённый пункт: </w:t>
            </w:r>
            <w:r>
              <w:rPr>
                <w:sz w:val="20"/>
                <w:szCs w:val="20"/>
                <w:u w:val="single"/>
              </w:rPr>
              <w:t>с. Ир</w:t>
            </w:r>
          </w:p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кадастрового квартала (нескольких смежных кадастровых кварталов):</w:t>
            </w:r>
          </w:p>
          <w:tbl>
            <w:tblPr>
              <w:tblW w:w="9492" w:type="dxa"/>
              <w:jc w:val="center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noVBand="1" w:val="04a0" w:noHBand="0" w:lastColumn="0" w:firstColumn="1" w:lastRow="0" w:firstRow="1"/>
            </w:tblPr>
            <w:tblGrid>
              <w:gridCol w:w="2963"/>
              <w:gridCol w:w="3293"/>
              <w:gridCol w:w="3236"/>
            </w:tblGrid>
            <w:tr>
              <w:trPr>
                <w:trHeight w:val="339" w:hRule="atLeast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>
                      <w:rFonts w:eastAsia="XO Thames"/>
                    </w:rPr>
                    <w:t>15:08:0160101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>
                      <w:rFonts w:eastAsia="XO Thames"/>
                    </w:rPr>
                    <w:t>15:08:0160102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>
                      <w:rFonts w:eastAsia="XO Thames"/>
                    </w:rPr>
                    <w:t>15:08:0160103</w:t>
                  </w:r>
                </w:p>
              </w:tc>
            </w:tr>
            <w:tr>
              <w:trPr>
                <w:trHeight w:val="276" w:hRule="atLeast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>
                      <w:rFonts w:eastAsia="XO Thames"/>
                    </w:rPr>
                    <w:t>15:08:0160104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>
                      <w:rFonts w:eastAsia="XO Thames"/>
                    </w:rPr>
                    <w:t>15:08:0160105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>
                      <w:rFonts w:eastAsia="XO Thames"/>
                    </w:rPr>
                    <w:t>15:08:0160106</w:t>
                  </w:r>
                </w:p>
              </w:tc>
            </w:tr>
          </w:tbl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Соглашением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от «30» января 2025 г. № 321-20-2025-002 выполняются комплексные кадастровые работы.</w:t>
            </w:r>
          </w:p>
          <w:p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  <w:p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Р</w:t>
            </w:r>
            <w:r>
              <w:rPr>
                <w:b/>
                <w:bCs/>
                <w:sz w:val="20"/>
                <w:szCs w:val="20"/>
                <w:u w:val="single"/>
              </w:rPr>
              <w:t>еспублики Северная Осетия-Алания, Пригородный район, с. Октябрьское,</w:t>
            </w:r>
          </w:p>
          <w:p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ул. Павла Тедеева, 129, понедельник - пятница с 9.00 до 12.00 и с 15.00 до 17.00)</w:t>
            </w:r>
          </w:p>
          <w:p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sz w:val="20"/>
                <w:szCs w:val="20"/>
              </w:rPr>
              <w:t>(Адрес работы согласительной комиссии)</w:t>
            </w:r>
          </w:p>
          <w:p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на официальных сайтах в информационно-телекоммуникационной сети "Интернет":</w:t>
            </w:r>
          </w:p>
        </w:tc>
      </w:tr>
      <w:tr>
        <w:trPr>
          <w:trHeight w:val="485" w:hRule="atLeast"/>
        </w:trPr>
        <w:tc>
          <w:tcPr>
            <w:tcW w:w="4970" w:type="dxa"/>
            <w:tcBorders>
              <w:left w:val="single" w:sz="4" w:space="0" w:color="000000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АМС Пригородного района</w:t>
            </w:r>
          </w:p>
          <w:p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i/>
                <w:iCs/>
                <w:sz w:val="20"/>
                <w:szCs w:val="20"/>
              </w:rPr>
              <w:t>(наименования органа местного самоуправления)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http://prigams.ru</w:t>
            </w:r>
          </w:p>
          <w:p>
            <w:pPr>
              <w:pStyle w:val="ConsPlusNormal"/>
              <w:rPr/>
            </w:pPr>
            <w:r>
              <w:rPr/>
              <w:t xml:space="preserve">                        </w:t>
            </w:r>
            <w:r>
              <w:rPr>
                <w:sz w:val="20"/>
                <w:szCs w:val="20"/>
              </w:rPr>
              <w:t xml:space="preserve">         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>
        <w:trPr>
          <w:trHeight w:val="1711" w:hRule="atLeast"/>
        </w:trPr>
        <w:tc>
          <w:tcPr>
            <w:tcW w:w="4970" w:type="dxa"/>
            <w:tcBorders>
              <w:left w:val="single" w:sz="4" w:space="0" w:color="000000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Министерство государственного имущества и земельных отношений Республики Северная Осетия-Алания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hyperlink r:id="rId2">
              <w:r>
                <w:rPr>
                  <w:rStyle w:val="Hyperlink"/>
                  <w:color w:val="auto"/>
                </w:rPr>
                <w:t>http://minimu.alania.gov.ru</w:t>
              </w:r>
            </w:hyperlink>
          </w:p>
          <w:p>
            <w:pPr>
              <w:pStyle w:val="ConsPlusNormal"/>
              <w:rPr/>
            </w:pPr>
            <w:r>
              <w:rPr/>
              <w:t xml:space="preserve">                          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>
        <w:trPr>
          <w:trHeight w:val="987" w:hRule="atLeast"/>
        </w:trPr>
        <w:tc>
          <w:tcPr>
            <w:tcW w:w="4970" w:type="dxa"/>
            <w:tcBorders>
              <w:left w:val="single" w:sz="4" w:space="0" w:color="000000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Управление Росреестра по Республики Северная Осетия-Алания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Наименование заказчика комплексных кадастровых работ, органа кадастрового учета)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>
            <w:pPr>
              <w:pStyle w:val="ConsPlusNormal"/>
              <w:jc w:val="center"/>
              <w:rPr>
                <w:u w:val="single"/>
              </w:rPr>
            </w:pPr>
            <w:r>
              <w:rPr>
                <w:u w:val="single"/>
              </w:rPr>
              <w:t>__ https://rosreestr.ru/__</w:t>
            </w:r>
          </w:p>
          <w:p>
            <w:pPr>
              <w:pStyle w:val="ConsPlusNormal"/>
              <w:rPr/>
            </w:pPr>
            <w:r>
              <w:rPr/>
              <w:t xml:space="preserve">                      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>
        <w:trPr>
          <w:trHeight w:val="11" w:hRule="atLeast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</w:t>
            </w:r>
          </w:p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состоится по адресу:</w:t>
            </w:r>
          </w:p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Республика Северная Осетия-Алания, Пригородный район, с. Октябрьское, ул. Павла Тедеева, 129</w:t>
            </w:r>
          </w:p>
          <w:p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"</w:t>
            </w:r>
            <w:r>
              <w:rPr>
                <w:b/>
                <w:sz w:val="20"/>
                <w:szCs w:val="20"/>
                <w:u w:val="single"/>
              </w:rPr>
              <w:t>12</w:t>
            </w:r>
            <w:r>
              <w:rPr>
                <w:b/>
                <w:sz w:val="20"/>
                <w:szCs w:val="20"/>
                <w:u w:val="single"/>
              </w:rPr>
              <w:t>" мая 2025</w:t>
            </w:r>
            <w:r>
              <w:rPr>
                <w:sz w:val="20"/>
                <w:szCs w:val="20"/>
              </w:rPr>
              <w:t xml:space="preserve"> г. в </w:t>
            </w:r>
            <w:r>
              <w:rPr>
                <w:b/>
                <w:sz w:val="20"/>
                <w:szCs w:val="20"/>
                <w:u w:val="single"/>
              </w:rPr>
              <w:t>11</w:t>
            </w:r>
            <w:r>
              <w:rPr>
                <w:sz w:val="20"/>
                <w:szCs w:val="20"/>
              </w:rPr>
              <w:t xml:space="preserve"> часов </w:t>
            </w:r>
            <w:r>
              <w:rPr>
                <w:b/>
                <w:sz w:val="20"/>
                <w:szCs w:val="20"/>
                <w:u w:val="single"/>
              </w:rPr>
              <w:t>00</w:t>
            </w:r>
            <w:r>
              <w:rPr>
                <w:sz w:val="20"/>
                <w:szCs w:val="20"/>
              </w:rPr>
              <w:t xml:space="preserve"> минут.</w:t>
            </w:r>
          </w:p>
          <w:p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  <w:p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  <w:u w:val="single"/>
              </w:rPr>
              <w:t>"</w:t>
            </w:r>
            <w:r>
              <w:rPr>
                <w:b/>
                <w:sz w:val="20"/>
                <w:szCs w:val="20"/>
                <w:u w:val="single"/>
              </w:rPr>
              <w:t>14</w:t>
            </w:r>
            <w:r>
              <w:rPr>
                <w:b/>
                <w:sz w:val="20"/>
                <w:szCs w:val="20"/>
                <w:u w:val="single"/>
              </w:rPr>
              <w:t>" апреля 2025 г.</w:t>
            </w:r>
            <w:r>
              <w:rPr>
                <w:sz w:val="20"/>
                <w:szCs w:val="20"/>
              </w:rPr>
              <w:t xml:space="preserve"> по </w:t>
            </w:r>
            <w:r>
              <w:rPr>
                <w:b/>
                <w:sz w:val="20"/>
                <w:szCs w:val="20"/>
                <w:u w:val="single"/>
              </w:rPr>
              <w:t>"</w:t>
            </w:r>
            <w:r>
              <w:rPr>
                <w:b/>
                <w:sz w:val="20"/>
                <w:szCs w:val="20"/>
                <w:u w:val="single"/>
              </w:rPr>
              <w:t>12</w:t>
            </w:r>
            <w:r>
              <w:rPr>
                <w:b/>
                <w:sz w:val="20"/>
                <w:szCs w:val="20"/>
                <w:u w:val="single"/>
              </w:rPr>
              <w:t>" мая 2025 г.</w:t>
            </w:r>
          </w:p>
          <w:p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  <w:u w:val="single"/>
              </w:rPr>
              <w:t>"</w:t>
            </w:r>
            <w:r>
              <w:rPr>
                <w:b/>
                <w:sz w:val="20"/>
                <w:szCs w:val="20"/>
                <w:u w:val="single"/>
              </w:rPr>
              <w:t>13</w:t>
            </w:r>
            <w:r>
              <w:rPr>
                <w:b/>
                <w:sz w:val="20"/>
                <w:szCs w:val="20"/>
                <w:u w:val="single"/>
              </w:rPr>
              <w:t>" мая 2025 г.</w:t>
            </w:r>
            <w:r>
              <w:rPr>
                <w:sz w:val="20"/>
                <w:szCs w:val="20"/>
              </w:rPr>
              <w:t xml:space="preserve"> по </w:t>
            </w:r>
            <w:r>
              <w:rPr>
                <w:b/>
                <w:sz w:val="20"/>
                <w:szCs w:val="20"/>
                <w:u w:val="single"/>
              </w:rPr>
              <w:t>"1</w:t>
            </w:r>
            <w:r>
              <w:rPr>
                <w:b/>
                <w:sz w:val="20"/>
                <w:szCs w:val="20"/>
                <w:u w:val="single"/>
              </w:rPr>
              <w:t>7</w:t>
            </w:r>
            <w:r>
              <w:rPr>
                <w:b/>
                <w:sz w:val="20"/>
                <w:szCs w:val="20"/>
                <w:u w:val="single"/>
              </w:rPr>
              <w:t>" июня 2025 г.</w:t>
            </w:r>
          </w:p>
          <w:p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Возражения оформляются в соответствии с частью 15 статьи 42.10 Федерального закона от 24 июля 2007 г. N 221-ФЗ "О государственном кадастре недвижимости" 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>
            <w:pPr>
              <w:pStyle w:val="ConsPlusNormal"/>
              <w:rPr/>
            </w:pPr>
            <w:r>
              <w:rPr>
                <w:sz w:val="20"/>
                <w:szCs w:val="20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>
              <w:rPr/>
              <w:t>.</w:t>
            </w:r>
          </w:p>
        </w:tc>
      </w:tr>
    </w:tbl>
    <w:p>
      <w:pPr>
        <w:pStyle w:val="ConsPlusNormal"/>
        <w:jc w:val="both"/>
        <w:rPr/>
      </w:pPr>
      <w:r>
        <w:rPr/>
      </w:r>
    </w:p>
    <w:sectPr>
      <w:type w:val="nextPage"/>
      <w:pgSz w:w="11906" w:h="16838"/>
      <w:pgMar w:left="1133" w:right="566" w:gutter="0" w:header="0" w:top="48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2682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d50243"/>
    <w:rPr>
      <w:color w:themeColor="hyperlink" w:val="0000FF"/>
      <w:u w:val="single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d50243"/>
    <w:rPr>
      <w:rFonts w:eastAsia="" w:eastAsiaTheme="minorEastAsia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d50243"/>
    <w:rPr>
      <w:rFonts w:eastAsia="" w:eastAsiaTheme="minorEastAsia"/>
      <w:lang w:eastAsia="ru-RU"/>
    </w:rPr>
  </w:style>
  <w:style w:type="character" w:styleId="1" w:customStyle="1">
    <w:name w:val="Основной шрифт абзаца1"/>
    <w:qFormat/>
    <w:rsid w:val="00d26825"/>
    <w:rPr/>
  </w:style>
  <w:style w:type="character" w:styleId="FollowedHyperlink">
    <w:name w:val="FollowedHyperlink"/>
    <w:rPr>
      <w:color w:val="80000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 w:customStyle="1">
    <w:name w:val="ConsPlusNormal"/>
    <w:qFormat/>
    <w:rsid w:val="00d50243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4"/>
      <w:lang w:val="ru-RU" w:eastAsia="ru-RU" w:bidi="ar-SA"/>
    </w:rPr>
  </w:style>
  <w:style w:type="paragraph" w:styleId="Style18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d50243"/>
    <w:pPr>
      <w:tabs>
        <w:tab w:val="clear" w:pos="708"/>
        <w:tab w:val="center" w:pos="4677" w:leader="none"/>
        <w:tab w:val="right" w:pos="9355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Footer">
    <w:name w:val="Footer"/>
    <w:basedOn w:val="Normal"/>
    <w:link w:val="Style15"/>
    <w:uiPriority w:val="99"/>
    <w:unhideWhenUsed/>
    <w:rsid w:val="00d50243"/>
    <w:pPr>
      <w:tabs>
        <w:tab w:val="clear" w:pos="708"/>
        <w:tab w:val="center" w:pos="4677" w:leader="none"/>
        <w:tab w:val="right" w:pos="9355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Style1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0" w:customStyle="1">
    <w:name w:val="Заголовок таблицы"/>
    <w:basedOn w:val="Style19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minimu.alania.gov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A4B14-84CD-48B1-9F9E-40C48334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LibreOffice/7.6.7.2$Linux_X86_64 LibreOffice_project/60$Build-2</Application>
  <AppVersion>15.0000</AppVersion>
  <Pages>1</Pages>
  <Words>453</Words>
  <Characters>3388</Characters>
  <CharactersWithSpaces>3977</CharactersWithSpaces>
  <Paragraphs>40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2025-04-07T13:01:00Z</dcterms:created>
  <dc:creator>RePack by Diakov</dc:creator>
  <dc:description/>
  <dc:language>ru-RU</dc:language>
  <cp:lastModifiedBy/>
  <cp:lastPrinted>2025-04-07T12:57:00Z</cp:lastPrinted>
  <dcterms:modified xsi:type="dcterms:W3CDTF">2025-04-08T11:39:26Z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